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598" w:rsidRDefault="003068DE" w:rsidP="00D978FD">
      <w:pPr>
        <w:ind w:firstLine="720"/>
      </w:pPr>
      <w:r>
        <w:t xml:space="preserve">An incident responder is a cyber firefighter, rapidly addressing security threats and incidents within an organization. Incident responders are required to use a host of forensic tools to find the root cause of a problem, limit the extent of damage, and work towards </w:t>
      </w:r>
      <w:r w:rsidR="007A6644">
        <w:t xml:space="preserve">the </w:t>
      </w:r>
      <w:r>
        <w:t xml:space="preserve">prevention of such an incident. </w:t>
      </w:r>
      <w:r w:rsidR="00D10259">
        <w:t xml:space="preserve">Their tasks cover protection and defense of systems through; </w:t>
      </w:r>
      <w:r w:rsidR="008728F6">
        <w:t>Cyber Defense Infrastructure Support,</w:t>
      </w:r>
      <w:r w:rsidR="008728F6">
        <w:t xml:space="preserve"> </w:t>
      </w:r>
      <w:r w:rsidR="00D10259">
        <w:t xml:space="preserve">Cyber Defense Analysis, </w:t>
      </w:r>
      <w:r w:rsidR="008728F6">
        <w:t>Vulnerability Assessment and Management</w:t>
      </w:r>
      <w:r w:rsidR="008728F6">
        <w:t>, and Incident Response</w:t>
      </w:r>
      <w:r w:rsidR="00D10259">
        <w:t>.</w:t>
      </w:r>
    </w:p>
    <w:p w:rsidR="00D10259" w:rsidRDefault="00D978FD">
      <w:r>
        <w:tab/>
        <w:t>There is no specialized degree for Incident responders</w:t>
      </w:r>
      <w:r w:rsidR="007A6644">
        <w:t>,</w:t>
      </w:r>
      <w:r>
        <w:t xml:space="preserve"> but a Bachelor’s degree in Computer Science or equivalent </w:t>
      </w:r>
      <w:r w:rsidR="00D10259">
        <w:t>is a requirement</w:t>
      </w:r>
      <w:r>
        <w:t>.</w:t>
      </w:r>
      <w:r w:rsidR="00D10259">
        <w:t xml:space="preserve"> A candidate with a Sub-BA with more than three years’ experience would be favorable</w:t>
      </w:r>
      <w:r w:rsidR="007A6644">
        <w:t>.</w:t>
      </w:r>
      <w:r>
        <w:t xml:space="preserve"> </w:t>
      </w:r>
      <w:r w:rsidR="008728F6">
        <w:t>A candidate is required to have one or a combination of the following certifications</w:t>
      </w:r>
      <w:r>
        <w:t>; Certified Computer Examiner (CCE), Certified Ethical Hacker (CEH), GIAC Certified Forensic Examiner (GCFE), GIAC Certified Forensic Analyst (GCFA), GIAC Certified Incident Handler (GCIH), GIAC Certified Intrusion Analyst (GCIA), Certified Computer Forensic Examiner (CCFE), Certified Penetration Tester (CPT), or Certified Reverse Engineering Analyst (CREA)</w:t>
      </w:r>
      <w:r w:rsidR="008728F6">
        <w:t xml:space="preserve"> </w:t>
      </w:r>
      <w:sdt>
        <w:sdtPr>
          <w:id w:val="1393309177"/>
          <w:citation/>
        </w:sdtPr>
        <w:sdtContent>
          <w:r w:rsidR="008728F6">
            <w:fldChar w:fldCharType="begin"/>
          </w:r>
          <w:r w:rsidR="008728F6">
            <w:instrText xml:space="preserve"> CITATION Lut14 \l 1033 </w:instrText>
          </w:r>
          <w:r w:rsidR="008728F6">
            <w:fldChar w:fldCharType="separate"/>
          </w:r>
          <w:r w:rsidR="008728F6">
            <w:rPr>
              <w:noProof/>
            </w:rPr>
            <w:t>(Luttgens, Pepe, &amp; Mandia, 2014)</w:t>
          </w:r>
          <w:r w:rsidR="008728F6">
            <w:fldChar w:fldCharType="end"/>
          </w:r>
        </w:sdtContent>
      </w:sdt>
      <w:r>
        <w:t xml:space="preserve">. </w:t>
      </w:r>
      <w:r w:rsidR="00D10259">
        <w:t xml:space="preserve">Incident responders </w:t>
      </w:r>
    </w:p>
    <w:p w:rsidR="00D978FD" w:rsidRDefault="00D10259" w:rsidP="00D10259">
      <w:pPr>
        <w:ind w:firstLine="720"/>
      </w:pPr>
      <w:r>
        <w:t>The required amount of experience is 2-3 years of experience in a similar role. The candidate should be skilled in</w:t>
      </w:r>
      <w:r w:rsidR="00BB549C">
        <w:t xml:space="preserve"> computer hardware and software systems, backup and archiving technologies, enterprise system monitoring tools and SIEMS,</w:t>
      </w:r>
      <w:r>
        <w:t xml:space="preserve"> Information Security, Project Management, Information Systems, </w:t>
      </w:r>
      <w:r w:rsidR="00BB549C">
        <w:t>Linux and Windows operation systems, Network Security, Intrusion Detection, UNIX, Security operations, Vulnerability Assessment</w:t>
      </w:r>
      <w:r w:rsidR="007A6644">
        <w:t>,</w:t>
      </w:r>
      <w:r w:rsidR="00BB549C">
        <w:t xml:space="preserve"> and forensic software applications</w:t>
      </w:r>
      <w:r w:rsidR="008728F6">
        <w:t xml:space="preserve"> </w:t>
      </w:r>
      <w:sdt>
        <w:sdtPr>
          <w:id w:val="-2081048611"/>
          <w:citation/>
        </w:sdtPr>
        <w:sdtContent>
          <w:r w:rsidR="008728F6">
            <w:fldChar w:fldCharType="begin"/>
          </w:r>
          <w:r w:rsidR="008728F6">
            <w:instrText xml:space="preserve"> CITATION Rue14 \l 1033 </w:instrText>
          </w:r>
          <w:r w:rsidR="008728F6">
            <w:fldChar w:fldCharType="separate"/>
          </w:r>
          <w:r w:rsidR="008728F6">
            <w:rPr>
              <w:noProof/>
            </w:rPr>
            <w:t>(Ruefle, et al., 2014)</w:t>
          </w:r>
          <w:r w:rsidR="008728F6">
            <w:fldChar w:fldCharType="end"/>
          </w:r>
        </w:sdtContent>
      </w:sdt>
      <w:r w:rsidR="00BB549C">
        <w:t xml:space="preserve">. </w:t>
      </w:r>
      <w:r>
        <w:t xml:space="preserve">Hiring agencies also look for flexible, adaptable and down-to-earth candidates </w:t>
      </w:r>
      <w:r w:rsidR="00BB549C">
        <w:t xml:space="preserve">with </w:t>
      </w:r>
      <w:r w:rsidR="008728F6">
        <w:t>excellent</w:t>
      </w:r>
      <w:r w:rsidR="00BB549C">
        <w:t xml:space="preserve"> oral communication skills with the ability to address technical issues to non-technical executives.</w:t>
      </w:r>
    </w:p>
    <w:p w:rsidR="008728F6" w:rsidRDefault="008728F6">
      <w:r>
        <w:br w:type="page"/>
      </w:r>
    </w:p>
    <w:sdt>
      <w:sdtPr>
        <w:rPr>
          <w:rFonts w:ascii="Times New Roman" w:hAnsi="Times New Roman" w:cs="Times New Roman"/>
          <w:color w:val="auto"/>
          <w:sz w:val="24"/>
          <w:szCs w:val="24"/>
        </w:rPr>
        <w:id w:val="-540276516"/>
        <w:docPartObj>
          <w:docPartGallery w:val="Bibliographies"/>
          <w:docPartUnique/>
        </w:docPartObj>
      </w:sdtPr>
      <w:sdtEndPr>
        <w:rPr>
          <w:rFonts w:eastAsiaTheme="minorHAnsi" w:cstheme="minorBidi"/>
          <w:szCs w:val="22"/>
        </w:rPr>
      </w:sdtEndPr>
      <w:sdtContent>
        <w:p w:rsidR="008728F6" w:rsidRPr="007A0CA9" w:rsidRDefault="008728F6" w:rsidP="007A0CA9">
          <w:pPr>
            <w:pStyle w:val="Heading1"/>
            <w:jc w:val="center"/>
            <w:rPr>
              <w:rFonts w:ascii="Times New Roman" w:hAnsi="Times New Roman" w:cs="Times New Roman"/>
              <w:color w:val="auto"/>
              <w:sz w:val="24"/>
              <w:szCs w:val="24"/>
            </w:rPr>
          </w:pPr>
          <w:r w:rsidRPr="007A0CA9">
            <w:rPr>
              <w:rFonts w:ascii="Times New Roman" w:hAnsi="Times New Roman" w:cs="Times New Roman"/>
              <w:color w:val="auto"/>
              <w:sz w:val="24"/>
              <w:szCs w:val="24"/>
            </w:rPr>
            <w:t>References</w:t>
          </w:r>
        </w:p>
        <w:sdt>
          <w:sdtPr>
            <w:id w:val="-573587230"/>
            <w:bibliography/>
          </w:sdtPr>
          <w:sdtContent>
            <w:p w:rsidR="008728F6" w:rsidRDefault="008728F6" w:rsidP="008728F6">
              <w:pPr>
                <w:pStyle w:val="Bibliography"/>
                <w:ind w:left="720" w:hanging="720"/>
                <w:rPr>
                  <w:noProof/>
                  <w:szCs w:val="24"/>
                </w:rPr>
              </w:pPr>
              <w:r>
                <w:fldChar w:fldCharType="begin"/>
              </w:r>
              <w:r>
                <w:instrText xml:space="preserve"> BIBLIOGRAPHY </w:instrText>
              </w:r>
              <w:r>
                <w:fldChar w:fldCharType="separate"/>
              </w:r>
              <w:r>
                <w:rPr>
                  <w:noProof/>
                </w:rPr>
                <w:t xml:space="preserve">Luttgens, J. T., Pepe, M., &amp; Mandia, K. (2014). </w:t>
              </w:r>
              <w:r>
                <w:rPr>
                  <w:i/>
                  <w:iCs/>
                  <w:noProof/>
                </w:rPr>
                <w:t>Incident Response and Computer Forensics.</w:t>
              </w:r>
              <w:r>
                <w:rPr>
                  <w:noProof/>
                </w:rPr>
                <w:t xml:space="preserve"> New York: McGraw-Hill Education Group.</w:t>
              </w:r>
            </w:p>
            <w:p w:rsidR="008728F6" w:rsidRDefault="008728F6" w:rsidP="008728F6">
              <w:pPr>
                <w:pStyle w:val="Bibliography"/>
                <w:ind w:left="720" w:hanging="720"/>
                <w:rPr>
                  <w:noProof/>
                </w:rPr>
              </w:pPr>
              <w:r>
                <w:rPr>
                  <w:noProof/>
                </w:rPr>
                <w:t xml:space="preserve">Ruefle, R., Dorofee, A., Mundie, D., Householder, A. D., Murray, M., &amp; Perl, S. J. (2014). Computer security incident response team development and evolution. </w:t>
              </w:r>
              <w:r>
                <w:rPr>
                  <w:i/>
                  <w:iCs/>
                  <w:noProof/>
                </w:rPr>
                <w:t>IEEE Security &amp; Privacy</w:t>
              </w:r>
              <w:r>
                <w:rPr>
                  <w:noProof/>
                </w:rPr>
                <w:t>, 16-26.</w:t>
              </w:r>
            </w:p>
            <w:p w:rsidR="008728F6" w:rsidRDefault="008728F6" w:rsidP="008728F6">
              <w:r>
                <w:rPr>
                  <w:b/>
                  <w:bCs/>
                  <w:noProof/>
                </w:rPr>
                <w:fldChar w:fldCharType="end"/>
              </w:r>
            </w:p>
          </w:sdtContent>
        </w:sdt>
      </w:sdtContent>
    </w:sdt>
    <w:p w:rsidR="008728F6" w:rsidRDefault="008728F6" w:rsidP="00D10259">
      <w:pPr>
        <w:ind w:firstLine="720"/>
      </w:pPr>
      <w:bookmarkStart w:id="0" w:name="_GoBack"/>
      <w:bookmarkEnd w:id="0"/>
    </w:p>
    <w:sectPr w:rsidR="008728F6" w:rsidSect="00513017">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919" w:rsidRDefault="00DE4919" w:rsidP="00BB549C">
      <w:pPr>
        <w:spacing w:line="240" w:lineRule="auto"/>
      </w:pPr>
      <w:r>
        <w:separator/>
      </w:r>
    </w:p>
  </w:endnote>
  <w:endnote w:type="continuationSeparator" w:id="0">
    <w:p w:rsidR="00DE4919" w:rsidRDefault="00DE4919" w:rsidP="00BB54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919" w:rsidRDefault="00DE4919" w:rsidP="00BB549C">
      <w:pPr>
        <w:spacing w:line="240" w:lineRule="auto"/>
      </w:pPr>
      <w:r>
        <w:separator/>
      </w:r>
    </w:p>
  </w:footnote>
  <w:footnote w:type="continuationSeparator" w:id="0">
    <w:p w:rsidR="00DE4919" w:rsidRDefault="00DE4919" w:rsidP="00BB549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67A"/>
    <w:rsid w:val="001226A1"/>
    <w:rsid w:val="00200549"/>
    <w:rsid w:val="003068DE"/>
    <w:rsid w:val="003C63C1"/>
    <w:rsid w:val="00513017"/>
    <w:rsid w:val="00663F22"/>
    <w:rsid w:val="00765792"/>
    <w:rsid w:val="007A0CA9"/>
    <w:rsid w:val="007A6644"/>
    <w:rsid w:val="007B5E3F"/>
    <w:rsid w:val="008728F6"/>
    <w:rsid w:val="00956BE3"/>
    <w:rsid w:val="00B8267A"/>
    <w:rsid w:val="00BB549C"/>
    <w:rsid w:val="00D10259"/>
    <w:rsid w:val="00D978FD"/>
    <w:rsid w:val="00DE4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01E4E6-8C1F-4414-B410-915EAE819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728F6"/>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49C"/>
    <w:pPr>
      <w:tabs>
        <w:tab w:val="center" w:pos="4680"/>
        <w:tab w:val="right" w:pos="9360"/>
      </w:tabs>
      <w:spacing w:line="240" w:lineRule="auto"/>
    </w:pPr>
  </w:style>
  <w:style w:type="character" w:customStyle="1" w:styleId="HeaderChar">
    <w:name w:val="Header Char"/>
    <w:basedOn w:val="DefaultParagraphFont"/>
    <w:link w:val="Header"/>
    <w:uiPriority w:val="99"/>
    <w:rsid w:val="00BB549C"/>
  </w:style>
  <w:style w:type="paragraph" w:styleId="Footer">
    <w:name w:val="footer"/>
    <w:basedOn w:val="Normal"/>
    <w:link w:val="FooterChar"/>
    <w:uiPriority w:val="99"/>
    <w:unhideWhenUsed/>
    <w:rsid w:val="00BB549C"/>
    <w:pPr>
      <w:tabs>
        <w:tab w:val="center" w:pos="4680"/>
        <w:tab w:val="right" w:pos="9360"/>
      </w:tabs>
      <w:spacing w:line="240" w:lineRule="auto"/>
    </w:pPr>
  </w:style>
  <w:style w:type="character" w:customStyle="1" w:styleId="FooterChar">
    <w:name w:val="Footer Char"/>
    <w:basedOn w:val="DefaultParagraphFont"/>
    <w:link w:val="Footer"/>
    <w:uiPriority w:val="99"/>
    <w:rsid w:val="00BB549C"/>
  </w:style>
  <w:style w:type="character" w:customStyle="1" w:styleId="Heading1Char">
    <w:name w:val="Heading 1 Char"/>
    <w:basedOn w:val="DefaultParagraphFont"/>
    <w:link w:val="Heading1"/>
    <w:uiPriority w:val="9"/>
    <w:rsid w:val="008728F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72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980206">
      <w:bodyDiv w:val="1"/>
      <w:marLeft w:val="0"/>
      <w:marRight w:val="0"/>
      <w:marTop w:val="0"/>
      <w:marBottom w:val="0"/>
      <w:divBdr>
        <w:top w:val="none" w:sz="0" w:space="0" w:color="auto"/>
        <w:left w:val="none" w:sz="0" w:space="0" w:color="auto"/>
        <w:bottom w:val="none" w:sz="0" w:space="0" w:color="auto"/>
        <w:right w:val="none" w:sz="0" w:space="0" w:color="auto"/>
      </w:divBdr>
    </w:div>
    <w:div w:id="1791514752">
      <w:bodyDiv w:val="1"/>
      <w:marLeft w:val="0"/>
      <w:marRight w:val="0"/>
      <w:marTop w:val="0"/>
      <w:marBottom w:val="0"/>
      <w:divBdr>
        <w:top w:val="none" w:sz="0" w:space="0" w:color="auto"/>
        <w:left w:val="none" w:sz="0" w:space="0" w:color="auto"/>
        <w:bottom w:val="none" w:sz="0" w:space="0" w:color="auto"/>
        <w:right w:val="none" w:sz="0" w:space="0" w:color="auto"/>
      </w:divBdr>
    </w:div>
    <w:div w:id="203052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Lut14</b:Tag>
    <b:SourceType>Book</b:SourceType>
    <b:Guid>{3C90112A-58B3-48FF-8E9D-181FBCC9CBF8}</b:Guid>
    <b:Title>Incident Response and Computer Forensics</b:Title>
    <b:Year>2014</b:Year>
    <b:Author>
      <b:Author>
        <b:NameList>
          <b:Person>
            <b:Last>Luttgens</b:Last>
            <b:Middle>T.</b:Middle>
            <b:First>Jason</b:First>
          </b:Person>
          <b:Person>
            <b:Last>Pepe</b:Last>
            <b:First>Mathew</b:First>
          </b:Person>
          <b:Person>
            <b:Last>Mandia</b:Last>
            <b:First>Kevin</b:First>
          </b:Person>
        </b:NameList>
      </b:Author>
    </b:Author>
    <b:City>New York</b:City>
    <b:Publisher>McGraw-Hill Education Group</b:Publisher>
    <b:RefOrder>1</b:RefOrder>
  </b:Source>
  <b:Source>
    <b:Tag>Rue14</b:Tag>
    <b:SourceType>JournalArticle</b:SourceType>
    <b:Guid>{C49CBFF7-EE2B-4AF4-A334-B4AC9DD426AB}</b:Guid>
    <b:Title> Computer security incident response team development and evolution</b:Title>
    <b:Year>2014</b:Year>
    <b:JournalName>IEEE Security &amp; Privacy</b:JournalName>
    <b:Pages>16-26</b:Pages>
    <b:Author>
      <b:Author>
        <b:NameList>
          <b:Person>
            <b:Last>Ruefle</b:Last>
            <b:First>Robin</b:First>
          </b:Person>
          <b:Person>
            <b:Last>Dorofee</b:Last>
            <b:First>Audrey</b:First>
          </b:Person>
          <b:Person>
            <b:Last>Mundie</b:Last>
            <b:First>David</b:First>
          </b:Person>
          <b:Person>
            <b:Last>Householder</b:Last>
            <b:Middle>D.</b:Middle>
            <b:First>Allen</b:First>
          </b:Person>
          <b:Person>
            <b:Last>Murray</b:Last>
            <b:First>Micheal</b:First>
          </b:Person>
          <b:Person>
            <b:Last>Perl</b:Last>
            <b:Middle>J.</b:Middle>
            <b:First>Samuel</b:First>
          </b:Person>
        </b:NameList>
      </b:Author>
    </b:Author>
    <b:RefOrder>2</b:RefOrder>
  </b:Source>
</b:Sources>
</file>

<file path=customXml/itemProps1.xml><?xml version="1.0" encoding="utf-8"?>
<ds:datastoreItem xmlns:ds="http://schemas.openxmlformats.org/officeDocument/2006/customXml" ds:itemID="{D4F942BC-7319-4AB5-8FFB-1C27CCF47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3</cp:revision>
  <dcterms:created xsi:type="dcterms:W3CDTF">2018-12-17T07:43:00Z</dcterms:created>
  <dcterms:modified xsi:type="dcterms:W3CDTF">2018-12-17T08:39:00Z</dcterms:modified>
</cp:coreProperties>
</file>